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Roboto-bold.ttf" ContentType="application/x-font-ttf"/>
  <Override PartName="/word/fonts/Roboto-boldItalic.ttf" ContentType="application/x-font-ttf"/>
  <Override PartName="/word/fonts/Roboto-italic.ttf" ContentType="application/x-font-ttf"/>
  <Override PartName="/word/fonts/Robo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keepNext w:val="0"/>
        <w:spacing w:before="0" w:after="40" w:lineRule="auto" w:line="240"/>
        <w:jc w:val="left"/>
      </w:pPr>
      <w:r>
        <w:rPr>
          <w:rFonts w:ascii="Sora" w:hAnsi="Sora" w:eastAsia="Sora" w:cs="Sora"/>
          <w:b/>
          <w:i w:val="0"/>
          <w:sz w:val="40"/>
        </w:rPr>
        <w:t>Co-Hosting-Startvertrag</w:t>
      </w:r>
    </w:p>
    <w:p>
      <w:pPr>
        <w:keepNext w:val="0"/>
        <w:spacing w:before="0" w:after="280" w:lineRule="auto" w:line="240"/>
        <w:jc w:val="left"/>
      </w:pPr>
      <w:r>
        <w:rPr>
          <w:rFonts w:ascii="Sora" w:hAnsi="Sora" w:eastAsia="Sora" w:cs="Sora"/>
          <w:b/>
          <w:i w:val="0"/>
          <w:sz w:val="22"/>
        </w:rPr>
        <w:t>Paketvariante: Full Service</w:t>
      </w:r>
    </w:p>
    <w:p>
      <w:pPr>
        <w:keepNext/>
        <w:spacing w:before="0" w:after="60" w:lineRule="auto" w:line="276"/>
        <w:jc w:val="both"/>
      </w:pPr>
      <w:r>
        <w:rPr>
          <w:rFonts w:ascii="Inter" w:hAnsi="Inter" w:eastAsia="Inter" w:cs="Inter"/>
          <w:b/>
          <w:i w:val="0"/>
          <w:sz w:val="20"/>
        </w:rPr>
        <w:t>Zwischen dem Auftraggeber (nachfolgend „Eigentümer“):</w:t>
      </w:r>
    </w:p>
    <w:p>
      <w:pPr>
        <w:keepNext/>
        <w:spacing w:before="0" w:after="40" w:lineRule="auto" w:line="276"/>
        <w:jc w:val="both"/>
      </w:pPr>
      <w:r>
        <w:rPr>
          <w:rFonts w:ascii="Inter" w:hAnsi="Inter" w:eastAsia="Inter" w:cs="Inter"/>
          <w:b w:val="0"/>
          <w:i w:val="0"/>
          <w:sz w:val="20"/>
        </w:rPr>
        <w:t>{{FIRMA}}</w:t>
      </w:r>
    </w:p>
    <w:p>
      <w:pPr>
        <w:keepNext/>
        <w:spacing w:before="0" w:after="40" w:lineRule="auto" w:line="276"/>
        <w:jc w:val="both"/>
      </w:pPr>
      <w:r>
        <w:rPr>
          <w:rFonts w:ascii="Inter" w:hAnsi="Inter" w:eastAsia="Inter" w:cs="Inter"/>
          <w:b w:val="0"/>
          <w:i w:val="0"/>
          <w:sz w:val="20"/>
        </w:rPr>
        <w:t>{{NAME}}</w:t>
      </w:r>
    </w:p>
    <w:p>
      <w:pPr>
        <w:keepNext/>
        <w:spacing w:before="0" w:after="40" w:lineRule="auto" w:line="276"/>
        <w:jc w:val="both"/>
      </w:pPr>
      <w:r>
        <w:rPr>
          <w:rFonts w:ascii="Inter" w:hAnsi="Inter" w:eastAsia="Inter" w:cs="Inter"/>
          <w:b w:val="0"/>
          <w:i w:val="0"/>
          <w:sz w:val="20"/>
        </w:rPr>
        <w:t>{{STRASSE}}</w:t>
      </w:r>
    </w:p>
    <w:p>
      <w:pPr>
        <w:keepNext/>
        <w:spacing w:before="0" w:after="40" w:lineRule="auto" w:line="276"/>
        <w:jc w:val="both"/>
      </w:pPr>
      <w:r>
        <w:rPr>
          <w:rFonts w:ascii="Inter" w:hAnsi="Inter" w:eastAsia="Inter" w:cs="Inter"/>
          <w:b w:val="0"/>
          <w:i w:val="0"/>
          <w:sz w:val="20"/>
        </w:rPr>
        <w:t>{{PLZ_ORT}}</w:t>
      </w:r>
    </w:p>
    <w:p>
      <w:pPr>
        <w:keepNext/>
        <w:spacing w:before="0" w:after="40" w:lineRule="auto" w:line="276"/>
        <w:jc w:val="both"/>
      </w:pPr>
      <w:r>
        <w:rPr>
          <w:rFonts w:ascii="Inter" w:hAnsi="Inter" w:eastAsia="Inter" w:cs="Inter"/>
          <w:b w:val="0"/>
          <w:i w:val="0"/>
          <w:sz w:val="20"/>
        </w:rPr>
        <w:t>E-Mail: {{EMAIL}}</w:t>
      </w:r>
    </w:p>
    <w:p>
      <w:pPr>
        <w:keepNext/>
        <w:spacing w:before="160" w:after="60" w:lineRule="auto" w:line="276"/>
        <w:jc w:val="both"/>
      </w:pPr>
      <w:r>
        <w:rPr>
          <w:rFonts w:ascii="Inter" w:hAnsi="Inter" w:eastAsia="Inter" w:cs="Inter"/>
          <w:b/>
          <w:i w:val="0"/>
          <w:sz w:val="20"/>
        </w:rPr>
        <w:t>und dem Auftragnehmer (nachfolgend „juni“):</w:t>
      </w:r>
    </w:p>
    <w:p>
      <w:pPr>
        <w:keepNext/>
        <w:spacing w:before="0" w:after="40" w:lineRule="auto" w:line="276"/>
        <w:jc w:val="both"/>
      </w:pPr>
      <w:r>
        <w:rPr>
          <w:rFonts w:ascii="Inter" w:hAnsi="Inter" w:eastAsia="Inter" w:cs="Inter"/>
          <w:b w:val="0"/>
          <w:i w:val="0"/>
          <w:sz w:val="20"/>
        </w:rPr>
        <w:t>Juni Co-Hosting &amp; Management</w:t>
      </w:r>
    </w:p>
    <w:p>
      <w:pPr>
        <w:keepNext/>
        <w:spacing w:before="0" w:after="40" w:lineRule="auto" w:line="276"/>
        <w:jc w:val="both"/>
      </w:pPr>
      <w:r>
        <w:rPr>
          <w:rFonts w:ascii="Inter" w:hAnsi="Inter" w:eastAsia="Inter" w:cs="Inter"/>
          <w:b w:val="0"/>
          <w:i w:val="0"/>
          <w:sz w:val="20"/>
        </w:rPr>
        <w:t>Graf &amp; Kuhn GbR</w:t>
      </w:r>
    </w:p>
    <w:p>
      <w:pPr>
        <w:keepNext/>
        <w:spacing w:before="0" w:after="40" w:lineRule="auto" w:line="276"/>
        <w:jc w:val="both"/>
      </w:pPr>
      <w:r>
        <w:rPr>
          <w:rFonts w:ascii="Inter" w:hAnsi="Inter" w:eastAsia="Inter" w:cs="Inter"/>
          <w:b w:val="0"/>
          <w:i w:val="0"/>
          <w:sz w:val="20"/>
        </w:rPr>
        <w:t>Schusterstraße 1, 42105 Wuppertal</w:t>
      </w:r>
    </w:p>
    <w:p>
      <w:pPr>
        <w:keepNext/>
        <w:spacing w:before="0" w:after="40" w:lineRule="auto" w:line="276"/>
        <w:jc w:val="both"/>
      </w:pPr>
      <w:r>
        <w:rPr>
          <w:rFonts w:ascii="Inter" w:hAnsi="Inter" w:eastAsia="Inter" w:cs="Inter"/>
          <w:b w:val="0"/>
          <w:i w:val="0"/>
          <w:sz w:val="20"/>
        </w:rPr>
        <w:t>Kontakt: info@juni-co-hosting.de</w:t>
      </w:r>
    </w:p>
    <w:p>
      <w:pPr>
        <w:keepNext/>
        <w:spacing w:before="0" w:after="40" w:lineRule="auto" w:line="276"/>
        <w:jc w:val="both"/>
      </w:pPr>
      <w:r>
        <w:rPr>
          <w:rFonts w:ascii="Inter" w:hAnsi="Inter" w:eastAsia="Inter" w:cs="Inter"/>
          <w:b w:val="0"/>
          <w:i w:val="0"/>
          <w:sz w:val="20"/>
        </w:rPr>
        <w:t>Vertreten durch: Niklas Kuhn &amp; Nicole Graf</w:t>
      </w:r>
    </w:p>
    <w:p>
      <w:pPr>
        <w:keepNext w:val="0"/>
        <w:spacing w:before="160" w:after="80" w:lineRule="auto" w:line="276"/>
        <w:jc w:val="both"/>
      </w:pPr>
      <w:r>
        <w:rPr>
          <w:rFonts w:ascii="Inter" w:hAnsi="Inter" w:eastAsia="Inter" w:cs="Inter"/>
          <w:b w:val="0"/>
          <w:i w:val="0"/>
          <w:sz w:val="20"/>
        </w:rPr>
        <w:t>wird der folgende Startvertrag über Co-Hosting-Leistungen geschlossen. „Eigentümer“ bezeichnet den Auftraggeber auch dann, wenn er das Objekt nicht als Eigentümer, sondern etwa als Hauptmieter mit Erlaubnis zur Untervermietung anbietet.</w:t>
      </w:r>
    </w:p>
    <w:p>
      <w:pPr>
        <w:keepNext/>
        <w:pBdr>
          <w:bottom w:val="single" w:sz="6" w:space="3" w:color="BFBFBF"/>
        </w:pBdr>
        <w:spacing w:before="280" w:after="120" w:lineRule="auto" w:line="240"/>
        <w:jc w:val="left"/>
      </w:pPr>
      <w:r>
        <w:rPr>
          <w:rFonts w:ascii="Sora" w:hAnsi="Sora" w:eastAsia="Sora" w:cs="Sora"/>
          <w:b/>
          <w:i w:val="0"/>
          <w:sz w:val="24"/>
        </w:rPr>
        <w:t>§ 1 Leistungen von juni</w:t>
      </w:r>
    </w:p>
    <w:p>
      <w:pPr>
        <w:keepNext/>
        <w:tabs>
          <w:tab w:pos="425" w:val="left"/>
        </w:tabs>
        <w:spacing w:before="0" w:after="6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Leistungen: </w:t>
      </w:r>
      <w:r>
        <w:rPr>
          <w:rFonts w:ascii="Inter" w:hAnsi="Inter" w:eastAsia="Inter" w:cs="Inter"/>
          <w:b w:val="0"/>
          <w:i w:val="0"/>
          <w:sz w:val="20"/>
        </w:rPr>
        <w:t>juni übernimmt für die in § 2 genannten Objekte (nachfolgend „Vertragsobjekte“) die Vermarktung als Ferienunterkunft im gebuchten Paket „Full Service“:</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Erstellung oder Übernahme und Optimierung der Inserate auf den Kurzzeitvermietungs-Plattformen (u. a. Airbnb, Booking.com); weitere Plattformen wählt juni nach pflichtgemäßem Ermessen</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Professionelle Fotos, sofern die Parteien vereinbaren, dass sie erforderlich sind</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Gästekommunikation vor, während und nach dem Aufenthalt sowie digitaler Check-in (standardmäßig ab 15 Uhr) über Schlüsselsafe oder Smartlock</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Gastauswahl nach einem mit dem Eigentümer abgestimmten Kriterienkatalog</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Pricing-Strategie und Kalenderpflege mit dynamischer Preisoptimierung</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Marketing der Inserate und monatliches Reporting</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Endreinigung und Wäscheservice durch Reinigungskräfte von juni sowie Bereitstellung der Gäste-Essentials</w:t>
      </w:r>
    </w:p>
    <w:p>
      <w:pPr>
        <w:keepNext w:val="0"/>
        <w:tabs>
          <w:tab w:pos="765" w:val="left"/>
        </w:tabs>
        <w:spacing w:before="0" w:after="12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Qualitätsmanagement, Hausmeisterservice über Partner und Schadenmanagement (Dokumentation, Meldung, Geltendmachung gegenüber Gästen und Plattform-Schutzprogrammen)</w:t>
      </w:r>
    </w:p>
    <w:p>
      <w:pPr>
        <w:keepNext/>
        <w:tabs>
          <w:tab w:pos="425" w:val="left"/>
        </w:tabs>
        <w:spacing w:before="0" w:after="60" w:lineRule="auto" w:line="276"/>
        <w:ind w:left="425" w:hanging="425"/>
        <w:jc w:val="both"/>
      </w:pPr>
      <w:r>
        <w:rPr>
          <w:rFonts w:ascii="Inter" w:hAnsi="Inter" w:eastAsia="Inter" w:cs="Inter"/>
          <w:b w:val="0"/>
          <w:i w:val="0"/>
          <w:sz w:val="20"/>
        </w:rPr>
        <w:t>(2)</w:t>
        <w:tab/>
      </w:r>
      <w:r>
        <w:rPr>
          <w:rFonts w:ascii="Inter" w:hAnsi="Inter" w:eastAsia="Inter" w:cs="Inter"/>
          <w:b/>
          <w:i w:val="0"/>
          <w:sz w:val="20"/>
        </w:rPr>
        <w:t>Nicht enthalten:</w:t>
      </w:r>
    </w:p>
    <w:p>
      <w:pPr>
        <w:keepNext w:val="0"/>
        <w:tabs>
          <w:tab w:pos="765" w:val="left"/>
        </w:tabs>
        <w:spacing w:before="0" w:after="120" w:lineRule="auto" w:line="276"/>
        <w:ind w:left="765" w:hanging="340"/>
        <w:jc w:val="both"/>
      </w:pPr>
      <w:r>
        <w:rPr>
          <w:rFonts w:ascii="Inter" w:hAnsi="Inter" w:eastAsia="Inter" w:cs="Inter"/>
          <w:b w:val="0"/>
          <w:i w:val="0"/>
          <w:sz w:val="20"/>
        </w:rPr>
        <w:t>•</w:t>
        <w:tab/>
      </w:r>
      <w:r>
        <w:rPr>
          <w:rFonts w:ascii="Inter" w:hAnsi="Inter" w:eastAsia="Inter" w:cs="Inter"/>
          <w:b w:val="0"/>
          <w:i w:val="0"/>
          <w:sz w:val="20"/>
        </w:rPr>
        <w:t>Instandhaltungs- und Reparaturarbeiten, Neuanschaffungen und Hausmeisterleistungen (werden nach § 4 gesondert abgerechnet)</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Rollen: </w:t>
      </w:r>
      <w:r>
        <w:rPr>
          <w:rFonts w:ascii="Inter" w:hAnsi="Inter" w:eastAsia="Inter" w:cs="Inter"/>
          <w:b w:val="0"/>
          <w:i w:val="0"/>
          <w:sz w:val="20"/>
        </w:rPr>
        <w:t>Der Eigentümer bleibt Vermieter der Vertragsobjekte und Vertragspartner der Plattformen und Gäste. Profile, Konten und Inserate laufen auf seinen Namen; juni wird als Co-Host oder über einen eigenen Zugang angebunden und ist bevollmächtigt, den Eigentümer gegenüber Plattformen und Gästen zu vertreten; der Eigentümer hält die Nutzungsbedingungen der Plattformen ein.</w:t>
      </w:r>
    </w:p>
    <w:p>
      <w:pPr>
        <w:keepNext w:val="0"/>
        <w:tabs>
          <w:tab w:pos="425" w:val="left"/>
        </w:tabs>
        <w:spacing w:before="0" w:after="120" w:lineRule="auto" w:line="276"/>
        <w:ind w:left="425" w:hanging="425"/>
        <w:jc w:val="both"/>
      </w:pPr>
      <w:r>
        <w:rPr>
          <w:rFonts w:ascii="Inter" w:hAnsi="Inter" w:eastAsia="Inter" w:cs="Inter"/>
          <w:b w:val="0"/>
          <w:i w:val="0"/>
          <w:sz w:val="20"/>
        </w:rPr>
        <w:t>(4)</w:t>
        <w:tab/>
      </w:r>
      <w:r>
        <w:rPr>
          <w:rFonts w:ascii="Inter" w:hAnsi="Inter" w:eastAsia="Inter" w:cs="Inter"/>
          <w:b/>
          <w:i w:val="0"/>
          <w:sz w:val="20"/>
        </w:rPr>
        <w:t xml:space="preserve">Entscheidungen: </w:t>
      </w:r>
      <w:r>
        <w:rPr>
          <w:rFonts w:ascii="Inter" w:hAnsi="Inter" w:eastAsia="Inter" w:cs="Inter"/>
          <w:b w:val="0"/>
          <w:i w:val="0"/>
          <w:sz w:val="20"/>
        </w:rPr>
        <w:t>juni legt Übernachtungspreise und Reinigungsgebühren fest, entscheidet über Buchungsanfragen und Buchungseinstellungen und wählt die Gäste aus; der Eigentümer kann einen Tiefstpreis je Nacht vorgeben. Eine bestimmte Auslastung oder Mindesteinnahme wird nicht garantiert. In Zeiteinteilung und Ablauf seiner Tätigkeit ist juni frei.</w:t>
      </w:r>
    </w:p>
    <w:p>
      <w:pPr>
        <w:keepNext w:val="0"/>
        <w:tabs>
          <w:tab w:pos="425" w:val="left"/>
        </w:tabs>
        <w:spacing w:before="0" w:after="120" w:lineRule="auto" w:line="276"/>
        <w:ind w:left="425" w:hanging="425"/>
        <w:jc w:val="both"/>
      </w:pPr>
      <w:r>
        <w:rPr>
          <w:rFonts w:ascii="Inter" w:hAnsi="Inter" w:eastAsia="Inter" w:cs="Inter"/>
          <w:b w:val="0"/>
          <w:i w:val="0"/>
          <w:sz w:val="20"/>
        </w:rPr>
        <w:t>(5)</w:t>
        <w:tab/>
      </w:r>
      <w:r>
        <w:rPr>
          <w:rFonts w:ascii="Inter" w:hAnsi="Inter" w:eastAsia="Inter" w:cs="Inter"/>
          <w:b/>
          <w:i w:val="0"/>
          <w:sz w:val="20"/>
        </w:rPr>
        <w:t xml:space="preserve">Weitere Leistungen: </w:t>
      </w:r>
      <w:r>
        <w:rPr>
          <w:rFonts w:ascii="Inter" w:hAnsi="Inter" w:eastAsia="Inter" w:cs="Inter"/>
          <w:b w:val="0"/>
          <w:i w:val="0"/>
          <w:sz w:val="20"/>
        </w:rPr>
        <w:t>Nicht geschuldet; sie können in Textform gegen gesondertes Honorar vereinbart werden.</w:t>
      </w:r>
    </w:p>
    <w:p>
      <w:pPr>
        <w:keepNext/>
        <w:pBdr>
          <w:bottom w:val="single" w:sz="6" w:space="3" w:color="BFBFBF"/>
        </w:pBdr>
        <w:spacing w:before="280" w:after="120" w:lineRule="auto" w:line="240"/>
        <w:jc w:val="left"/>
      </w:pPr>
      <w:r>
        <w:rPr>
          <w:rFonts w:ascii="Sora" w:hAnsi="Sora" w:eastAsia="Sora" w:cs="Sora"/>
          <w:b/>
          <w:i w:val="0"/>
          <w:sz w:val="24"/>
        </w:rPr>
        <w:t>§ 2 Vertragsobjekte</w:t>
      </w:r>
    </w:p>
    <w:p>
      <w:pPr>
        <w:keepNext/>
        <w:spacing w:before="0" w:after="80" w:lineRule="auto" w:line="276"/>
        <w:jc w:val="both"/>
      </w:pPr>
      <w:r>
        <w:rPr>
          <w:rFonts w:ascii="Inter" w:hAnsi="Inter" w:eastAsia="Inter" w:cs="Inter"/>
          <w:b w:val="0"/>
          <w:i w:val="0"/>
          <w:sz w:val="20"/>
        </w:rPr>
        <w:t>Vertragsobjekte sind die folgenden Wohnungen und/oder Häuser:</w:t>
      </w:r>
    </w:p>
    <w:p>
      <w:pPr>
        <w:keepNext/>
        <w:spacing w:before="0" w:after="40" w:lineRule="auto" w:line="276"/>
        <w:jc w:val="both"/>
      </w:pPr>
      <w:r>
        <w:rPr>
          <w:rFonts w:ascii="Inter" w:hAnsi="Inter" w:eastAsia="Inter" w:cs="Inter"/>
          <w:b w:val="0"/>
          <w:i w:val="0"/>
          <w:sz w:val="20"/>
        </w:rPr>
        <w:t>Objekt 1: {{OBJEKT_1}}</w:t>
      </w:r>
    </w:p>
    <w:p>
      <w:pPr>
        <w:keepNext/>
        <w:spacing w:before="0" w:after="40" w:lineRule="auto" w:line="276"/>
        <w:jc w:val="both"/>
      </w:pPr>
      <w:r>
        <w:rPr>
          <w:rFonts w:ascii="Inter" w:hAnsi="Inter" w:eastAsia="Inter" w:cs="Inter"/>
          <w:b w:val="0"/>
          <w:i w:val="0"/>
          <w:sz w:val="20"/>
        </w:rPr>
        <w:t>Objekt 2: {{OBJEKT_2}}</w:t>
      </w:r>
    </w:p>
    <w:p>
      <w:pPr>
        <w:keepNext/>
        <w:spacing w:before="0" w:after="40" w:lineRule="auto" w:line="276"/>
        <w:jc w:val="both"/>
      </w:pPr>
      <w:r>
        <w:rPr>
          <w:rFonts w:ascii="Inter" w:hAnsi="Inter" w:eastAsia="Inter" w:cs="Inter"/>
          <w:b w:val="0"/>
          <w:i w:val="0"/>
          <w:sz w:val="20"/>
        </w:rPr>
        <w:t>Objekt 3: {{OBJEKT_3}}</w:t>
      </w:r>
    </w:p>
    <w:p>
      <w:pPr>
        <w:keepNext/>
        <w:spacing w:before="0" w:after="40" w:lineRule="auto" w:line="276"/>
        <w:jc w:val="both"/>
      </w:pPr>
      <w:r>
        <w:rPr>
          <w:rFonts w:ascii="Inter" w:hAnsi="Inter" w:eastAsia="Inter" w:cs="Inter"/>
          <w:b w:val="0"/>
          <w:i w:val="0"/>
          <w:sz w:val="20"/>
        </w:rPr>
        <w:t>Objekt 4: {{OBJEKT_4}}</w:t>
      </w:r>
    </w:p>
    <w:p>
      <w:pPr>
        <w:keepNext/>
        <w:spacing w:before="0" w:after="40" w:lineRule="auto" w:line="276"/>
        <w:jc w:val="both"/>
      </w:pPr>
      <w:r>
        <w:rPr>
          <w:rFonts w:ascii="Inter" w:hAnsi="Inter" w:eastAsia="Inter" w:cs="Inter"/>
          <w:b w:val="0"/>
          <w:i w:val="0"/>
          <w:sz w:val="20"/>
        </w:rPr>
        <w:t>Objekt 5: {{OBJEKT_5}}</w:t>
      </w:r>
    </w:p>
    <w:p>
      <w:pPr>
        <w:keepNext/>
        <w:spacing w:before="0" w:after="80" w:lineRule="auto" w:line="276"/>
        <w:jc w:val="both"/>
      </w:pPr>
      <w:r>
        <w:rPr>
          <w:rFonts w:ascii="Inter" w:hAnsi="Inter" w:eastAsia="Inter" w:cs="Inter"/>
          <w:b w:val="0"/>
          <w:i w:val="0"/>
          <w:sz w:val="20"/>
        </w:rPr>
        <w:t>Anzahl der Wohneinheiten: {{ANZAHL_OBJEKTE}}</w:t>
      </w:r>
    </w:p>
    <w:p>
      <w:pPr>
        <w:keepNext w:val="0"/>
        <w:spacing w:before="0" w:after="100" w:lineRule="auto" w:line="276"/>
        <w:jc w:val="both"/>
      </w:pPr>
      <w:r>
        <w:rPr>
          <w:rFonts w:ascii="Inter" w:hAnsi="Inter" w:eastAsia="Inter" w:cs="Inter"/>
          <w:b w:val="0"/>
          <w:i w:val="0"/>
          <w:sz w:val="20"/>
        </w:rPr>
        <w:t>Nicht benötigte Zeilen bleiben frei. Weitere Objekte können in Textform einbezogen werden.</w:t>
      </w:r>
    </w:p>
    <w:p>
      <w:pPr>
        <w:keepNext/>
        <w:pBdr>
          <w:bottom w:val="single" w:sz="6" w:space="3" w:color="BFBFBF"/>
        </w:pBdr>
        <w:spacing w:before="280" w:after="120" w:lineRule="auto" w:line="240"/>
        <w:jc w:val="left"/>
      </w:pPr>
      <w:r>
        <w:rPr>
          <w:rFonts w:ascii="Sora" w:hAnsi="Sora" w:eastAsia="Sora" w:cs="Sora"/>
          <w:b/>
          <w:i w:val="0"/>
          <w:sz w:val="24"/>
        </w:rPr>
        <w:t>§ 3 Startphase, Laufzeit und Kündigung</w:t>
      </w:r>
    </w:p>
    <w:p>
      <w:pPr>
        <w:keepNext w:val="0"/>
        <w:tabs>
          <w:tab w:pos="425" w:val="left"/>
        </w:tabs>
        <w:spacing w:before="0" w:after="12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Beginn: </w:t>
      </w:r>
      <w:r>
        <w:rPr>
          <w:rFonts w:ascii="Inter" w:hAnsi="Inter" w:eastAsia="Inter" w:cs="Inter"/>
          <w:b w:val="0"/>
          <w:i w:val="0"/>
          <w:sz w:val="20"/>
        </w:rPr>
        <w:t>Der Vertrag beginnt am {{DATUM}}.</w:t>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Startphase: </w:t>
      </w:r>
      <w:r>
        <w:rPr>
          <w:rFonts w:ascii="Inter" w:hAnsi="Inter" w:eastAsia="Inter" w:cs="Inter"/>
          <w:b w:val="0"/>
          <w:i w:val="0"/>
          <w:sz w:val="20"/>
        </w:rPr>
        <w:t>Die Startphase umfasst die ersten drei Monate ab Vertragsbeginn. Wird bis zu ihrem Ende kein Hauptvertrag geschlossen, verlängert sich der Startvertrag jeweils um einen weiteren Monat.</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Kündigung: </w:t>
      </w:r>
      <w:r>
        <w:rPr>
          <w:rFonts w:ascii="Inter" w:hAnsi="Inter" w:eastAsia="Inter" w:cs="Inter"/>
          <w:b w:val="0"/>
          <w:i w:val="0"/>
          <w:sz w:val="20"/>
        </w:rPr>
        <w:t>Beide Parteien können den Startvertrag jederzeit ohne Angabe von Gründen mit einer Frist von 14 Tagen kündigen, auch nach einer Verlängerung. Kündigungen bedürfen der Textform (z. B. E-Mail). Das Recht zur fristlosen Kündigung aus wichtigem Grund bleibt unberührt.</w:t>
      </w:r>
    </w:p>
    <w:p>
      <w:pPr>
        <w:keepNext w:val="0"/>
        <w:tabs>
          <w:tab w:pos="425" w:val="left"/>
        </w:tabs>
        <w:spacing w:before="0" w:after="120" w:lineRule="auto" w:line="276"/>
        <w:ind w:left="425" w:hanging="425"/>
        <w:jc w:val="both"/>
      </w:pPr>
      <w:r>
        <w:rPr>
          <w:rFonts w:ascii="Inter" w:hAnsi="Inter" w:eastAsia="Inter" w:cs="Inter"/>
          <w:b w:val="0"/>
          <w:i w:val="0"/>
          <w:sz w:val="20"/>
        </w:rPr>
        <w:t>(4)</w:t>
        <w:tab/>
      </w:r>
      <w:r>
        <w:rPr>
          <w:rFonts w:ascii="Inter" w:hAnsi="Inter" w:eastAsia="Inter" w:cs="Inter"/>
          <w:b/>
          <w:i w:val="0"/>
          <w:sz w:val="20"/>
        </w:rPr>
        <w:t xml:space="preserve">Hauptvertrag: </w:t>
      </w:r>
      <w:r>
        <w:rPr>
          <w:rFonts w:ascii="Inter" w:hAnsi="Inter" w:eastAsia="Inter" w:cs="Inter"/>
          <w:b w:val="0"/>
          <w:i w:val="0"/>
          <w:sz w:val="20"/>
        </w:rPr>
        <w:t>Sobald der Eigentümer zufrieden ist, schließen die Parteien den Hauptvertrag (regulärer Co-Hosting-Vertrag von juni). Eine Pflicht zum Abschluss besteht für keine Seite. Mit Beginn des Hauptvertrags endet dieser Startvertrag; eine bereits gezahlte Onboarding-Gebühr wird nicht erneut berechnet.</w:t>
      </w:r>
    </w:p>
    <w:p>
      <w:pPr>
        <w:keepNext/>
        <w:pBdr>
          <w:bottom w:val="single" w:sz="6" w:space="3" w:color="BFBFBF"/>
        </w:pBdr>
        <w:spacing w:before="280" w:after="120" w:lineRule="auto" w:line="240"/>
        <w:jc w:val="left"/>
      </w:pPr>
      <w:r>
        <w:rPr>
          <w:rFonts w:ascii="Sora" w:hAnsi="Sora" w:eastAsia="Sora" w:cs="Sora"/>
          <w:b/>
          <w:i w:val="0"/>
          <w:sz w:val="24"/>
        </w:rPr>
        <w:t>§ 4 Vergütung und Abrechnung</w:t>
      </w:r>
    </w:p>
    <w:p>
      <w:pPr>
        <w:keepNext/>
        <w:tabs>
          <w:tab w:pos="425" w:val="left"/>
        </w:tabs>
        <w:spacing w:before="0" w:after="8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Konditionen: </w:t>
      </w:r>
      <w:r>
        <w:rPr>
          <w:rFonts w:ascii="Inter" w:hAnsi="Inter" w:eastAsia="Inter" w:cs="Inter"/>
          <w:b w:val="0"/>
          <w:i w:val="0"/>
          <w:sz w:val="20"/>
        </w:rPr>
        <w:t>Es gelten die folgenden Konditionen, jeweils zuzüglich gesetzlicher Umsatzsteuer:</w:t>
      </w:r>
    </w:p>
    <w:tbl>
      <w:tblPr>
        <w:tblW w:type="auto" w:w="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10" w:type="dxa"/>
          <w:bottom w:w="70" w:type="dxa"/>
          <w:right w:w="110" w:type="dxa"/>
        </w:tblCellMar>
        <w:tblLook w:firstColumn="1" w:firstRow="1" w:lastColumn="0" w:lastRow="0" w:noHBand="0" w:noVBand="1" w:val="04A0"/>
      </w:tblPr>
      <w:tblGrid>
        <w:gridCol w:w="2040"/>
        <w:gridCol w:w="7029"/>
      </w:tblGrid>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Co-Hosting-Gebühr</w:t>
            </w:r>
          </w:p>
        </w:tc>
        <w:tc>
          <w:tcPr>
            <w:tcW w:type="dxa" w:w="7030"/>
          </w:tcPr>
          <w:p>
            <w:pPr>
              <w:keepNext w:val="0"/>
              <w:spacing w:before="20" w:after="0" w:lineRule="auto" w:line="269"/>
              <w:jc w:val="left"/>
            </w:pPr>
            <w:r>
              <w:rPr>
                <w:rFonts w:ascii="Inter" w:hAnsi="Inter" w:eastAsia="Inter" w:cs="Inter"/>
                <w:b w:val="0"/>
                <w:i w:val="0"/>
                <w:sz w:val="19"/>
              </w:rPr>
              <w:t>{{PROZENT}} % des Netto-Buchungsumsatzes (Paket „Full Service“; Standardsatz 17 %), zuzüglich gesetzlicher Umsatzsteuer (derzeit 19 %). Fällt nur an, wenn Buchungen stattfinden.</w:t>
            </w:r>
          </w:p>
        </w:tc>
      </w:tr>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Onboarding-Gebühr</w:t>
            </w:r>
          </w:p>
        </w:tc>
        <w:tc>
          <w:tcPr>
            <w:tcW w:type="dxa" w:w="7030"/>
          </w:tcPr>
          <w:p>
            <w:pPr>
              <w:keepNext w:val="0"/>
              <w:spacing w:before="20" w:after="0" w:lineRule="auto" w:line="269"/>
              <w:jc w:val="left"/>
            </w:pPr>
            <w:r>
              <w:rPr>
                <w:rFonts w:ascii="Inter" w:hAnsi="Inter" w:eastAsia="Inter" w:cs="Inter"/>
                <w:b w:val="0"/>
                <w:i w:val="0"/>
                <w:sz w:val="19"/>
              </w:rPr>
              <w:t>{{SETUP_GEBUEHR}} EUR netto je Objekt (Standard: 249 EUR), einmalig für Aufbau oder Übernahme des Inserats, die Anbindung an Channel-Manager und Preisoptimierung sowie die Einrichtung von Gästekommunikation und Check-in; zuzüglich Umsatzsteuer, fällig mit der ersten Monatsabrechnung. Maßgeblich ist der eingetragene Betrag; juni kann die Gebühr ganz oder teilweise erlassen.</w:t>
            </w:r>
          </w:p>
        </w:tc>
      </w:tr>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Software-Kosten</w:t>
            </w:r>
          </w:p>
        </w:tc>
        <w:tc>
          <w:tcPr>
            <w:tcW w:type="dxa" w:w="7030"/>
          </w:tcPr>
          <w:p>
            <w:pPr>
              <w:keepNext w:val="0"/>
              <w:spacing w:before="20" w:after="0" w:lineRule="auto" w:line="269"/>
              <w:jc w:val="left"/>
            </w:pPr>
            <w:r>
              <w:rPr>
                <w:rFonts w:ascii="Inter" w:hAnsi="Inter" w:eastAsia="Inter" w:cs="Inter"/>
                <w:b w:val="0"/>
                <w:i w:val="0"/>
                <w:sz w:val="19"/>
              </w:rPr>
              <w:t>Startphase (erste drei Monate): trägt juni. Ab dem vierten Monat: Hostaway (Channel-Manager) und Pricelabs (Preisoptimierung) 1:1 ohne Aufschlag (derzeit 15,99 EUR und 19,99 EUR netto je Inserat und Monat), auf der Abrechnung gesondert ausgewiesen. Konditionsänderungen der Anbieter werden mit Wirkung für die Zukunft weitergegeben.</w:t>
            </w:r>
          </w:p>
        </w:tc>
      </w:tr>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Reinigung und Essentials</w:t>
            </w:r>
          </w:p>
        </w:tc>
        <w:tc>
          <w:tcPr>
            <w:tcW w:type="dxa" w:w="7030"/>
          </w:tcPr>
          <w:p>
            <w:pPr>
              <w:keepNext w:val="0"/>
              <w:spacing w:before="20" w:after="0" w:lineRule="auto" w:line="269"/>
              <w:jc w:val="left"/>
            </w:pPr>
            <w:r>
              <w:rPr>
                <w:rFonts w:ascii="Inter" w:hAnsi="Inter" w:eastAsia="Inter" w:cs="Inter"/>
                <w:b w:val="0"/>
                <w:i w:val="0"/>
                <w:sz w:val="19"/>
              </w:rPr>
              <w:t>Die vom Gast gezahlte Reinigungsgebühr steht juni als Vergütung für Endreinigung und Wäscheservice zu; ihre Höhe legen die Parteien nach den ortsüblichen Kosten fest. Gäste-Essentials werden 1:1 ohne Aufschlag weiterberechnet; Belege auf Wunsch.</w:t>
            </w:r>
          </w:p>
        </w:tc>
      </w:tr>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Sonderleistungen</w:t>
            </w:r>
          </w:p>
        </w:tc>
        <w:tc>
          <w:tcPr>
            <w:tcW w:type="dxa" w:w="7030"/>
          </w:tcPr>
          <w:p>
            <w:pPr>
              <w:keepNext w:val="0"/>
              <w:spacing w:before="20" w:after="0" w:lineRule="auto" w:line="269"/>
              <w:jc w:val="left"/>
            </w:pPr>
            <w:r>
              <w:rPr>
                <w:rFonts w:ascii="Inter" w:hAnsi="Inter" w:eastAsia="Inter" w:cs="Inter"/>
                <w:b w:val="0"/>
                <w:i w:val="0"/>
                <w:sz w:val="19"/>
              </w:rPr>
              <w:t>Instandhaltung, Reparaturen, Neuanschaffungen und Hausmeisterleistungen nach Aufwand (Hausmeister derzeit ca. 35 EUR je Stunde). Bis 150 EUR netto je Einzelfall ohne Rückfrage, darüber nur nach Freigabe in Textform; Fachfirmen nach Abstimmung, Kosten 1:1. Bei Gefahr im Verzug während eines Aufenthalts Notmaßnahmen bis 300 EUR je Einzelfall ohne Freigabe auf Kosten des Eigentümers.</w:t>
            </w:r>
          </w:p>
        </w:tc>
      </w:tr>
      <w:tr>
        <w:trPr>
          <w:cantSplit/>
        </w:trPr>
        <w:tc>
          <w:tcPr>
            <w:tcW w:type="dxa" w:w="2041"/>
            <w:shd w:val="clear" w:color="auto" w:fill="F2F2F2"/>
          </w:tcPr>
          <w:p>
            <w:pPr>
              <w:keepNext w:val="0"/>
              <w:spacing w:before="20" w:after="0" w:lineRule="auto" w:line="269"/>
              <w:jc w:val="left"/>
            </w:pPr>
            <w:r>
              <w:rPr>
                <w:rFonts w:ascii="Inter" w:hAnsi="Inter" w:eastAsia="Inter" w:cs="Inter"/>
                <w:b/>
                <w:i w:val="0"/>
                <w:sz w:val="19"/>
              </w:rPr>
              <w:t>Abrechnung</w:t>
            </w:r>
          </w:p>
        </w:tc>
        <w:tc>
          <w:tcPr>
            <w:tcW w:type="dxa" w:w="7030"/>
          </w:tcPr>
          <w:p>
            <w:pPr>
              <w:keepNext w:val="0"/>
              <w:spacing w:before="20" w:after="0" w:lineRule="auto" w:line="269"/>
              <w:jc w:val="left"/>
            </w:pPr>
            <w:r>
              <w:rPr>
                <w:rFonts w:ascii="Inter" w:hAnsi="Inter" w:eastAsia="Inter" w:cs="Inter"/>
                <w:b w:val="0"/>
                <w:i w:val="0"/>
                <w:sz w:val="19"/>
              </w:rPr>
              <w:t>Die Plattformen zahlen die Buchungserlöse direkt auf das vom Eigentümer benannte Auszahlungskonto. juni rechnet zum 10. des Folgemonats über alle Buchungen ab; Rechnungen sind binnen zehn Tagen ohne Abzug fällig, ein SEPA-Lastschriftmandat ist möglich.</w:t>
            </w:r>
          </w:p>
        </w:tc>
      </w:tr>
    </w:tbl>
    <w:p>
      <w:pPr>
        <w:keepNext w:val="0"/>
        <w:spacing w:before="0" w:after="40" w:lineRule="auto" w:line="276"/>
        <w:jc w:val="both"/>
      </w:pPr>
      <w:r>
        <w:rPr>
          <w:rFonts w:ascii="Inter" w:hAnsi="Inter" w:eastAsia="Inter" w:cs="Inter"/>
          <w:b w:val="0"/>
          <w:i w:val="0"/>
          <w:sz w:val="20"/>
        </w:rPr>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Berechnungsgrundlage: </w:t>
      </w:r>
      <w:r>
        <w:rPr>
          <w:rFonts w:ascii="Inter" w:hAnsi="Inter" w:eastAsia="Inter" w:cs="Inter"/>
          <w:b w:val="0"/>
          <w:i w:val="0"/>
          <w:sz w:val="20"/>
        </w:rPr>
        <w:t>Buchungsumsatz ist das für Aufenthalte in den Vertragsobjekten abgerechnete Übernachtungsentgelt. Reinigungsgebühren, durchlaufende Posten und gesondert ausgewiesene Abgaben (z. B. Kurtaxe) zählen nicht dazu; Plattformprovisionen mindern den Buchungsumsatz nicht. Die im Buchungsumsatz enthaltene Umsatzsteuer (derzeit 7 %) wird herausgerechnet; ist keine enthalten (z. B. bei Kleinunternehmern nach § 19 UStG), entspricht der Netto-Buchungsumsatz dem Buchungsumsatz. Stornierte oder erstattete Buchungen werden in der Folgeabrechnung korrigiert.</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Rechenbeispiel </w:t>
      </w:r>
      <w:r>
        <w:rPr>
          <w:rFonts w:ascii="Inter" w:hAnsi="Inter" w:eastAsia="Inter" w:cs="Inter"/>
          <w:b w:val="0"/>
          <w:i w:val="0"/>
          <w:sz w:val="20"/>
        </w:rPr>
        <w:t>mit dem Standardsatz (1 Inserat, 1 Monat; maßgeblich ist der in Absatz 1 eingetragene Satz): Buchungsumsatz 2.400,00 EUR inklusive 7 % USt, Netto-Buchungsumsatz 2.242,99 EUR; davon 17 % = 381,31 EUR Co-Hosting-Gebühr netto, zuzüglich 19 % USt (72,45 EUR) = 453,76 EUR. In der Startphase fallen keine Software-Kosten an.</w:t>
      </w:r>
    </w:p>
    <w:p>
      <w:pPr>
        <w:keepNext w:val="0"/>
        <w:tabs>
          <w:tab w:pos="425" w:val="left"/>
        </w:tabs>
        <w:spacing w:before="0" w:after="120" w:lineRule="auto" w:line="276"/>
        <w:ind w:left="425" w:hanging="425"/>
        <w:jc w:val="both"/>
      </w:pPr>
      <w:r>
        <w:rPr>
          <w:rFonts w:ascii="Inter" w:hAnsi="Inter" w:eastAsia="Inter" w:cs="Inter"/>
          <w:b w:val="0"/>
          <w:i w:val="0"/>
          <w:sz w:val="20"/>
        </w:rPr>
        <w:t>(4)</w:t>
        <w:tab/>
      </w:r>
      <w:r>
        <w:rPr>
          <w:rFonts w:ascii="Inter" w:hAnsi="Inter" w:eastAsia="Inter" w:cs="Inter"/>
          <w:b/>
          <w:i w:val="0"/>
          <w:sz w:val="20"/>
        </w:rPr>
        <w:t xml:space="preserve">Abbruch in der Startphase: </w:t>
      </w:r>
      <w:r>
        <w:rPr>
          <w:rFonts w:ascii="Inter" w:hAnsi="Inter" w:eastAsia="Inter" w:cs="Inter"/>
          <w:b w:val="0"/>
          <w:i w:val="0"/>
          <w:sz w:val="20"/>
        </w:rPr>
        <w:t>Kündigt der Eigentümer den Startvertrag während der Startphase, erstattet er juni die verauslagten Software-Kosten in tatsächlicher Höhe, höchstens für drei Monate (Belege stellt juni bereit). Vereinbarungsgemäß erstellte Fotos übernimmt er bei jeder Kündigung durch ihn zu 290 EUR je Einheit (§ 7). Weitere Kosten entstehen durch die Kündigung nicht; Onboarding-Gebühr und Co-Hosting-Gebühr für bestätigte Buchungen (§ 8) bleiben unberührt. Kündigt juni, entfallen Erstattung und Übernahmepflicht.</w:t>
      </w:r>
    </w:p>
    <w:p>
      <w:pPr>
        <w:keepNext w:val="0"/>
        <w:tabs>
          <w:tab w:pos="425" w:val="left"/>
        </w:tabs>
        <w:spacing w:before="0" w:after="120" w:lineRule="auto" w:line="276"/>
        <w:ind w:left="425" w:hanging="425"/>
        <w:jc w:val="both"/>
      </w:pPr>
      <w:r>
        <w:rPr>
          <w:rFonts w:ascii="Inter" w:hAnsi="Inter" w:eastAsia="Inter" w:cs="Inter"/>
          <w:b w:val="0"/>
          <w:i w:val="0"/>
          <w:sz w:val="20"/>
        </w:rPr>
        <w:t>(5)</w:t>
        <w:tab/>
      </w:r>
      <w:r>
        <w:rPr>
          <w:rFonts w:ascii="Inter" w:hAnsi="Inter" w:eastAsia="Inter" w:cs="Inter"/>
          <w:b/>
          <w:i w:val="0"/>
          <w:sz w:val="20"/>
        </w:rPr>
        <w:t xml:space="preserve">Zahlungsverzug: </w:t>
      </w:r>
      <w:r>
        <w:rPr>
          <w:rFonts w:ascii="Inter" w:hAnsi="Inter" w:eastAsia="Inter" w:cs="Inter"/>
          <w:b w:val="0"/>
          <w:i w:val="0"/>
          <w:sz w:val="20"/>
        </w:rPr>
        <w:t>Bei Zahlungsverzug darf juni nach erfolgloser Mahnung seine Leistungen bis zum Ausgleich der offenen Beträge aussetzen; die gesetzlichen Verzugsfolgen bleiben unberührt.</w:t>
      </w:r>
    </w:p>
    <w:p>
      <w:pPr>
        <w:keepNext/>
        <w:pBdr>
          <w:bottom w:val="single" w:sz="6" w:space="3" w:color="BFBFBF"/>
        </w:pBdr>
        <w:spacing w:before="280" w:after="120" w:lineRule="auto" w:line="240"/>
        <w:jc w:val="left"/>
      </w:pPr>
      <w:r>
        <w:rPr>
          <w:rFonts w:ascii="Sora" w:hAnsi="Sora" w:eastAsia="Sora" w:cs="Sora"/>
          <w:b/>
          <w:i w:val="0"/>
          <w:sz w:val="24"/>
        </w:rPr>
        <w:t>§ 5 Pflichten des Eigentümers</w:t>
      </w:r>
    </w:p>
    <w:p>
      <w:pPr>
        <w:keepNext w:val="0"/>
        <w:tabs>
          <w:tab w:pos="425" w:val="left"/>
        </w:tabs>
        <w:spacing w:before="0" w:after="12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Bereitstellung: </w:t>
      </w:r>
      <w:r>
        <w:rPr>
          <w:rFonts w:ascii="Inter" w:hAnsi="Inter" w:eastAsia="Inter" w:cs="Inter"/>
          <w:b w:val="0"/>
          <w:i w:val="0"/>
          <w:sz w:val="20"/>
        </w:rPr>
        <w:t>Der Eigentümer stellt je Wohnungs- und Haustür vier Schlüssel gegen Übergabeprotokoll, einen Schlüsselsafe oder ein Smartlock sowie je Schlafplatz mindestens drei Garnituren Bettwäsche und Handtuch-Sets bereit und ersetzt diese bei Verschleiß; Gastgeschenke wählt und bezahlt er. Zu Beginn teilt er juni die verfügbaren Zeiträume mit.</w:t>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Recht und Abgaben: </w:t>
      </w:r>
      <w:r>
        <w:rPr>
          <w:rFonts w:ascii="Inter" w:hAnsi="Inter" w:eastAsia="Inter" w:cs="Inter"/>
          <w:b w:val="0"/>
          <w:i w:val="0"/>
          <w:sz w:val="20"/>
        </w:rPr>
        <w:t>Die rechtliche Zulässigkeit der Kurzzeitvermietung (u. a. Zweckentfremdungs-, Bau-, Miet- und Wohnungseigentumsrecht), Genehmigungen, Registrierungen, Kurtaxen, Beherbergungsabgaben und Meldepflichten liegen in der Verantwortung des Eigentümers; juni prüft dies nicht und schuldet keine rechtliche oder steuerliche Beratung. Der Eigentümer stellt juni von Ansprüchen Dritter und Behörden einschließlich Bußgeldern und Rechtsverteidigungskosten frei, die auf einer unzulässigen Kurzzeitvermietung beruhen, es sei denn, er hat den Verstoß nicht zu vertreten.</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Exklusivität und Eigennutzung: </w:t>
      </w:r>
      <w:r>
        <w:rPr>
          <w:rFonts w:ascii="Inter" w:hAnsi="Inter" w:eastAsia="Inter" w:cs="Inter"/>
          <w:b w:val="0"/>
          <w:i w:val="0"/>
          <w:sz w:val="20"/>
        </w:rPr>
        <w:t>Während der Vertragslaufzeit vermarktet ausschließlich juni die Vertragsobjekte im Bereich der Kurzzeitvermietung. Der Eigentümer beauftragt keine Dritten und inseriert oder vermietet die Objekte nicht selbst kurzzeitig. Für eigene Nutzung darf er den Kalender bis zu sechs Wochen im Jahr sperren, wenn er dies mindestens eine Woche vorher mitteilt und im Zeitraum keine Buchung liegt.</w:t>
      </w:r>
    </w:p>
    <w:p>
      <w:pPr>
        <w:keepNext w:val="0"/>
        <w:tabs>
          <w:tab w:pos="425" w:val="left"/>
        </w:tabs>
        <w:spacing w:before="0" w:after="120" w:lineRule="auto" w:line="276"/>
        <w:ind w:left="425" w:hanging="425"/>
        <w:jc w:val="both"/>
      </w:pPr>
      <w:r>
        <w:rPr>
          <w:rFonts w:ascii="Inter" w:hAnsi="Inter" w:eastAsia="Inter" w:cs="Inter"/>
          <w:b w:val="0"/>
          <w:i w:val="0"/>
          <w:sz w:val="20"/>
        </w:rPr>
        <w:t>(4)</w:t>
        <w:tab/>
      </w:r>
      <w:r>
        <w:rPr>
          <w:rFonts w:ascii="Inter" w:hAnsi="Inter" w:eastAsia="Inter" w:cs="Inter"/>
          <w:b/>
          <w:i w:val="0"/>
          <w:sz w:val="20"/>
        </w:rPr>
        <w:t xml:space="preserve">Bestätigte Buchungen: </w:t>
      </w:r>
      <w:r>
        <w:rPr>
          <w:rFonts w:ascii="Inter" w:hAnsi="Inter" w:eastAsia="Inter" w:cs="Inter"/>
          <w:b w:val="0"/>
          <w:i w:val="0"/>
          <w:sz w:val="20"/>
        </w:rPr>
        <w:t>Kann eine bestätigte Buchung aus Gründen, die der Eigentümer zu vertreten hat, nicht stattfinden, trägt er die Storno-, Straf- und Umbuchungskosten der Plattformen sowie angemessene Mehrkosten für die Unterbringung der Gäste; die Co-Hosting-Gebühr für diese Buchung bleibt geschuldet. Die Ersatzunterbringung organisiert juni; die Kosten trägt der Eigentümer, soweit er die Ursache zu vertreten hat.</w:t>
      </w:r>
    </w:p>
    <w:p>
      <w:pPr>
        <w:keepNext w:val="0"/>
        <w:tabs>
          <w:tab w:pos="425" w:val="left"/>
        </w:tabs>
        <w:spacing w:before="0" w:after="120" w:lineRule="auto" w:line="276"/>
        <w:ind w:left="425" w:hanging="425"/>
        <w:jc w:val="both"/>
      </w:pPr>
      <w:r>
        <w:rPr>
          <w:rFonts w:ascii="Inter" w:hAnsi="Inter" w:eastAsia="Inter" w:cs="Inter"/>
          <w:b w:val="0"/>
          <w:i w:val="0"/>
          <w:sz w:val="20"/>
        </w:rPr>
        <w:t>(5)</w:t>
        <w:tab/>
      </w:r>
      <w:r>
        <w:rPr>
          <w:rFonts w:ascii="Inter" w:hAnsi="Inter" w:eastAsia="Inter" w:cs="Inter"/>
          <w:b/>
          <w:i w:val="0"/>
          <w:sz w:val="20"/>
        </w:rPr>
        <w:t xml:space="preserve">Zugangsdaten: </w:t>
      </w:r>
      <w:r>
        <w:rPr>
          <w:rFonts w:ascii="Inter" w:hAnsi="Inter" w:eastAsia="Inter" w:cs="Inter"/>
          <w:b w:val="0"/>
          <w:i w:val="0"/>
          <w:sz w:val="20"/>
        </w:rPr>
        <w:t>Zugangsdaten zu Plattformkonten und Systemen geben beide Parteien nicht an Dritte weiter.</w:t>
      </w:r>
    </w:p>
    <w:p>
      <w:pPr>
        <w:keepNext/>
        <w:pBdr>
          <w:bottom w:val="single" w:sz="6" w:space="3" w:color="BFBFBF"/>
        </w:pBdr>
        <w:spacing w:before="280" w:after="120" w:lineRule="auto" w:line="240"/>
        <w:jc w:val="left"/>
      </w:pPr>
      <w:r>
        <w:rPr>
          <w:rFonts w:ascii="Sora" w:hAnsi="Sora" w:eastAsia="Sora" w:cs="Sora"/>
          <w:b/>
          <w:i w:val="0"/>
          <w:sz w:val="24"/>
        </w:rPr>
        <w:t>§ 6 Haftung</w:t>
      </w:r>
    </w:p>
    <w:p>
      <w:pPr>
        <w:keepNext w:val="0"/>
        <w:tabs>
          <w:tab w:pos="425" w:val="left"/>
        </w:tabs>
        <w:spacing w:before="0" w:after="12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Haftung von juni: </w:t>
      </w:r>
      <w:r>
        <w:rPr>
          <w:rFonts w:ascii="Inter" w:hAnsi="Inter" w:eastAsia="Inter" w:cs="Inter"/>
          <w:b w:val="0"/>
          <w:i w:val="0"/>
          <w:sz w:val="20"/>
        </w:rPr>
        <w:t>juni haftet unbeschränkt bei Vorsatz und grober Fahrlässigkeit sowie bei Verletzung von Leben, Körper oder Gesundheit. Im Übrigen haftet juni nur bei Verletzung wesentlicher Vertragspflichten (Kardinalpflichten), begrenzt auf den vertragstypischen, vorhersehbaren Schaden.</w:t>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Keine Haftung: </w:t>
      </w:r>
      <w:r>
        <w:rPr>
          <w:rFonts w:ascii="Inter" w:hAnsi="Inter" w:eastAsia="Inter" w:cs="Inter"/>
          <w:b w:val="0"/>
          <w:i w:val="0"/>
          <w:sz w:val="20"/>
        </w:rPr>
        <w:t>für Entscheidungen, Störungen, Sperrungen oder Ranking-Änderungen der Plattformen, für Ausfälle der eingesetzten Software sowie für Schäden am Objekt oder an der Einrichtung, die vor Vertragsbeginn bestanden oder nicht auf ein Verhalten von juni oder seiner Erfüllungsgehilfen zurückgehen. Umsatz-, Auslastungs- und Ertragsprognosen sind unverbindlich.</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Gästeschäden: </w:t>
      </w:r>
      <w:r>
        <w:rPr>
          <w:rFonts w:ascii="Inter" w:hAnsi="Inter" w:eastAsia="Inter" w:cs="Inter"/>
          <w:b w:val="0"/>
          <w:i w:val="0"/>
          <w:sz w:val="20"/>
        </w:rPr>
        <w:t>Schäden durch Gäste meldet juni, soweit möglich, über die Schutzprogramme der Plattformen (z. B. Airbnb AirCover) und unterstützt den Eigentümer bei der Geltendmachung; Erstattungen stehen dem Eigentümer zu. Kann der Gast nicht in Anspruch genommen werden, trägt der Eigentümer die Kosten der Beseitigung. Gewöhnliche Abnutzung ersetzt juni nicht.</w:t>
      </w:r>
    </w:p>
    <w:p>
      <w:pPr>
        <w:keepNext w:val="0"/>
        <w:tabs>
          <w:tab w:pos="425" w:val="left"/>
        </w:tabs>
        <w:spacing w:before="0" w:after="120" w:lineRule="auto" w:line="276"/>
        <w:ind w:left="425" w:hanging="425"/>
        <w:jc w:val="both"/>
      </w:pPr>
      <w:r>
        <w:rPr>
          <w:rFonts w:ascii="Inter" w:hAnsi="Inter" w:eastAsia="Inter" w:cs="Inter"/>
          <w:b w:val="0"/>
          <w:i w:val="0"/>
          <w:sz w:val="20"/>
        </w:rPr>
        <w:t>(4)</w:t>
        <w:tab/>
      </w:r>
      <w:r>
        <w:rPr>
          <w:rFonts w:ascii="Inter" w:hAnsi="Inter" w:eastAsia="Inter" w:cs="Inter"/>
          <w:b/>
          <w:i w:val="0"/>
          <w:sz w:val="20"/>
        </w:rPr>
        <w:t xml:space="preserve">Verkehrssicherung: </w:t>
      </w:r>
      <w:r>
        <w:rPr>
          <w:rFonts w:ascii="Inter" w:hAnsi="Inter" w:eastAsia="Inter" w:cs="Inter"/>
          <w:b w:val="0"/>
          <w:i w:val="0"/>
          <w:sz w:val="20"/>
        </w:rPr>
        <w:t>Die Verkehrssicherungspflicht und die Verantwortung für den Zustand der Vertragsobjekte verbleiben beim Eigentümer. Von Ansprüchen von Gästen oder Dritten, die auf den Zustand eines Objekts oder seiner Einrichtung zurückgehen, stellt der Eigentümer juni frei, es sei denn, juni hat den Schaden vorsätzlich oder grob fahrlässig verursacht.</w:t>
      </w:r>
    </w:p>
    <w:p>
      <w:pPr>
        <w:keepNext w:val="0"/>
        <w:tabs>
          <w:tab w:pos="425" w:val="left"/>
        </w:tabs>
        <w:spacing w:before="0" w:after="120" w:lineRule="auto" w:line="276"/>
        <w:ind w:left="425" w:hanging="425"/>
        <w:jc w:val="both"/>
      </w:pPr>
      <w:r>
        <w:rPr>
          <w:rFonts w:ascii="Inter" w:hAnsi="Inter" w:eastAsia="Inter" w:cs="Inter"/>
          <w:b w:val="0"/>
          <w:i w:val="0"/>
          <w:sz w:val="20"/>
        </w:rPr>
        <w:t>(5)</w:t>
        <w:tab/>
      </w:r>
      <w:r>
        <w:rPr>
          <w:rFonts w:ascii="Inter" w:hAnsi="Inter" w:eastAsia="Inter" w:cs="Inter"/>
          <w:b/>
          <w:i w:val="0"/>
          <w:sz w:val="20"/>
        </w:rPr>
        <w:t xml:space="preserve">Mindestlohn: </w:t>
      </w:r>
      <w:r>
        <w:rPr>
          <w:rFonts w:ascii="Inter" w:hAnsi="Inter" w:eastAsia="Inter" w:cs="Inter"/>
          <w:b w:val="0"/>
          <w:i w:val="0"/>
          <w:sz w:val="20"/>
        </w:rPr>
        <w:t>juni hält die Vorschriften zum gesetzlichen Mindestlohn ein und stellt dies auch bei eingesetzten Subunternehmern sicher.</w:t>
      </w:r>
    </w:p>
    <w:p>
      <w:pPr>
        <w:keepNext/>
        <w:pBdr>
          <w:bottom w:val="single" w:sz="6" w:space="3" w:color="BFBFBF"/>
        </w:pBdr>
        <w:spacing w:before="280" w:after="120" w:lineRule="auto" w:line="240"/>
        <w:jc w:val="left"/>
      </w:pPr>
      <w:r>
        <w:rPr>
          <w:rFonts w:ascii="Sora" w:hAnsi="Sora" w:eastAsia="Sora" w:cs="Sora"/>
          <w:b/>
          <w:i w:val="0"/>
          <w:sz w:val="24"/>
        </w:rPr>
        <w:t>§ 7 Fotos, Texte und Inhalte</w:t>
      </w:r>
    </w:p>
    <w:p>
      <w:pPr>
        <w:keepNext w:val="0"/>
        <w:tabs>
          <w:tab w:pos="425" w:val="left"/>
        </w:tabs>
        <w:spacing w:before="0" w:after="12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Rechte an Fotos und Medien: </w:t>
      </w:r>
      <w:r>
        <w:rPr>
          <w:rFonts w:ascii="Inter" w:hAnsi="Inter" w:eastAsia="Inter" w:cs="Inter"/>
          <w:b w:val="0"/>
          <w:i w:val="0"/>
          <w:sz w:val="20"/>
        </w:rPr>
        <w:t>Von juni erstellte Fotos, Videos, Texte und sonstige Medien bleiben geistiges Eigentum von juni. Fotos erstellt juni nur, wenn die Parteien in Textform vereinbaren, dass sie erforderlich sind (z. B. in § 11). Der Eigentümer darf diese Medien ohne Zustimmung von juni weder veröffentlichen noch für andere Vermietungsangebote nutzen, auch nicht nach Vertragsende. Kündigt der Eigentümer den Startvertrag, übernimmt er die von juni erstellten Fotos einschließlich der Nutzungsrechte zu 290 EUR je Einheit (§ 4); in allen anderen Fällen kann er sie zu diesem Preis erwerben.</w:t>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Nutzung durch juni: </w:t>
      </w:r>
      <w:r>
        <w:rPr>
          <w:rFonts w:ascii="Inter" w:hAnsi="Inter" w:eastAsia="Inter" w:cs="Inter"/>
          <w:b w:val="0"/>
          <w:i w:val="0"/>
          <w:sz w:val="20"/>
        </w:rPr>
        <w:t>Der Eigentümer räumt juni das Recht ein, Profile, Inserate und deren Materialien für die Vermarktung zu nutzen und zu bearbeiten, auch außerhalb der Plattformen; Objektvideos dürfen an Gäste versendet werden. juni darf die Vertragsobjekte mit Fotos und anonymisierten Kennzahlen als Referenz nutzen; der Eigentümer kann dem jederzeit in Textform widersprechen.</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Inhalte des Eigentümers: </w:t>
      </w:r>
      <w:r>
        <w:rPr>
          <w:rFonts w:ascii="Inter" w:hAnsi="Inter" w:eastAsia="Inter" w:cs="Inter"/>
          <w:b w:val="0"/>
          <w:i w:val="0"/>
          <w:sz w:val="20"/>
        </w:rPr>
        <w:t>Vom Eigentümer bereitgestellte Inhalte prüft juni nicht auf Rechte Dritter; die Verantwortung für ihre Zulässigkeit liegt beim Eigentümer.</w:t>
      </w:r>
    </w:p>
    <w:p>
      <w:pPr>
        <w:keepNext/>
        <w:pBdr>
          <w:bottom w:val="single" w:sz="6" w:space="3" w:color="BFBFBF"/>
        </w:pBdr>
        <w:spacing w:before="280" w:after="120" w:lineRule="auto" w:line="240"/>
        <w:jc w:val="left"/>
      </w:pPr>
      <w:r>
        <w:rPr>
          <w:rFonts w:ascii="Sora" w:hAnsi="Sora" w:eastAsia="Sora" w:cs="Sora"/>
          <w:b/>
          <w:i w:val="0"/>
          <w:sz w:val="24"/>
        </w:rPr>
        <w:t>§ 8 Ende der Zusammenarbeit</w:t>
      </w:r>
    </w:p>
    <w:p>
      <w:pPr>
        <w:keepNext/>
        <w:spacing w:before="0" w:after="60" w:lineRule="auto" w:line="276"/>
        <w:jc w:val="both"/>
      </w:pPr>
      <w:r>
        <w:rPr>
          <w:rFonts w:ascii="Inter" w:hAnsi="Inter" w:eastAsia="Inter" w:cs="Inter"/>
          <w:b w:val="0"/>
          <w:i w:val="0"/>
          <w:sz w:val="20"/>
        </w:rPr>
        <w:t>Zum Vertragsende gilt:</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i w:val="0"/>
          <w:sz w:val="20"/>
        </w:rPr>
        <w:t xml:space="preserve">Zugänge: </w:t>
      </w:r>
      <w:r>
        <w:rPr>
          <w:rFonts w:ascii="Inter" w:hAnsi="Inter" w:eastAsia="Inter" w:cs="Inter"/>
          <w:b w:val="0"/>
          <w:i w:val="0"/>
          <w:sz w:val="20"/>
        </w:rPr>
        <w:t>juni entfernt seine Zugänge (u. a. Co-Host-Zugänge und Benutzerkonten) und trennt die Vertragsobjekte von den von juni betriebenen Systemen (Channel-Manager/PMS, Preisoptimierung).</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i w:val="0"/>
          <w:sz w:val="20"/>
        </w:rPr>
        <w:t xml:space="preserve">Konten und Daten: </w:t>
      </w:r>
      <w:r>
        <w:rPr>
          <w:rFonts w:ascii="Inter" w:hAnsi="Inter" w:eastAsia="Inter" w:cs="Inter"/>
          <w:b w:val="0"/>
          <w:i w:val="0"/>
          <w:sz w:val="20"/>
        </w:rPr>
        <w:t>Vom Eigentümer eingebrachte Plattformkonten und Inserate bleiben bei ihm; Kalender-, Buchungs- und Gästedaten erhält er in einem gängigen Format.</w:t>
      </w:r>
    </w:p>
    <w:p>
      <w:pPr>
        <w:keepNext w:val="0"/>
        <w:tabs>
          <w:tab w:pos="765" w:val="left"/>
        </w:tabs>
        <w:spacing w:before="0" w:after="60" w:lineRule="auto" w:line="276"/>
        <w:ind w:left="765" w:hanging="340"/>
        <w:jc w:val="both"/>
      </w:pPr>
      <w:r>
        <w:rPr>
          <w:rFonts w:ascii="Inter" w:hAnsi="Inter" w:eastAsia="Inter" w:cs="Inter"/>
          <w:b w:val="0"/>
          <w:i w:val="0"/>
          <w:sz w:val="20"/>
        </w:rPr>
        <w:t>•</w:t>
        <w:tab/>
      </w:r>
      <w:r>
        <w:rPr>
          <w:rFonts w:ascii="Inter" w:hAnsi="Inter" w:eastAsia="Inter" w:cs="Inter"/>
          <w:b/>
          <w:i w:val="0"/>
          <w:sz w:val="20"/>
        </w:rPr>
        <w:t xml:space="preserve">Bestätigte Buchungen: </w:t>
      </w:r>
      <w:r>
        <w:rPr>
          <w:rFonts w:ascii="Inter" w:hAnsi="Inter" w:eastAsia="Inter" w:cs="Inter"/>
          <w:b w:val="0"/>
          <w:i w:val="0"/>
          <w:sz w:val="20"/>
        </w:rPr>
        <w:t>Für alle bis zum Vertragsende bestätigten Buchungen bleibt die Co-Hosting-Gebühr geschuldet; auf Wunsch des Eigentümers wickelt juni diese Buchungen gegen die vereinbarte Gebühr ab, andernfalls übernimmt der Eigentümer die Abwicklung.</w:t>
      </w:r>
    </w:p>
    <w:p>
      <w:pPr>
        <w:keepNext w:val="0"/>
        <w:tabs>
          <w:tab w:pos="765" w:val="left"/>
        </w:tabs>
        <w:spacing w:before="0" w:after="120" w:lineRule="auto" w:line="276"/>
        <w:ind w:left="765" w:hanging="340"/>
        <w:jc w:val="both"/>
      </w:pPr>
      <w:r>
        <w:rPr>
          <w:rFonts w:ascii="Inter" w:hAnsi="Inter" w:eastAsia="Inter" w:cs="Inter"/>
          <w:b w:val="0"/>
          <w:i w:val="0"/>
          <w:sz w:val="20"/>
        </w:rPr>
        <w:t>•</w:t>
        <w:tab/>
      </w:r>
      <w:r>
        <w:rPr>
          <w:rFonts w:ascii="Inter" w:hAnsi="Inter" w:eastAsia="Inter" w:cs="Inter"/>
          <w:b/>
          <w:i w:val="0"/>
          <w:sz w:val="20"/>
        </w:rPr>
        <w:t xml:space="preserve">Fotos und Texte: </w:t>
      </w:r>
      <w:r>
        <w:rPr>
          <w:rFonts w:ascii="Inter" w:hAnsi="Inter" w:eastAsia="Inter" w:cs="Inter"/>
          <w:b w:val="0"/>
          <w:i w:val="0"/>
          <w:sz w:val="20"/>
        </w:rPr>
        <w:t>Es gilt § 7.</w:t>
      </w:r>
    </w:p>
    <w:p>
      <w:pPr>
        <w:keepNext/>
        <w:pBdr>
          <w:bottom w:val="single" w:sz="6" w:space="3" w:color="BFBFBF"/>
        </w:pBdr>
        <w:spacing w:before="280" w:after="120" w:lineRule="auto" w:line="240"/>
        <w:jc w:val="left"/>
      </w:pPr>
      <w:r>
        <w:rPr>
          <w:rFonts w:ascii="Sora" w:hAnsi="Sora" w:eastAsia="Sora" w:cs="Sora"/>
          <w:b/>
          <w:i w:val="0"/>
          <w:sz w:val="24"/>
        </w:rPr>
        <w:t>§ 9 Datenschutz</w:t>
      </w:r>
    </w:p>
    <w:p>
      <w:pPr>
        <w:keepNext w:val="0"/>
        <w:spacing w:before="0" w:after="100" w:lineRule="auto" w:line="276"/>
        <w:jc w:val="both"/>
      </w:pPr>
      <w:r>
        <w:rPr>
          <w:rFonts w:ascii="Inter" w:hAnsi="Inter" w:eastAsia="Inter" w:cs="Inter"/>
          <w:b w:val="0"/>
          <w:i w:val="0"/>
          <w:sz w:val="20"/>
        </w:rPr>
        <w:t>Beide Parteien beachten die geltenden Datenschutzvorschriften. Soweit juni personenbezogene Daten von Gästen im Auftrag des Eigentümers verarbeitet, schließen die Parteien eine Vereinbarung zur Auftragsverarbeitung nach Art. 28 DSGVO als Anlage zu diesem Vertrag; juni verarbeitet diese Daten ausschließlich zur Erfüllung dieses Vertrages.</w:t>
      </w:r>
    </w:p>
    <w:p>
      <w:pPr>
        <w:keepNext/>
        <w:pBdr>
          <w:bottom w:val="single" w:sz="6" w:space="3" w:color="BFBFBF"/>
        </w:pBdr>
        <w:spacing w:before="280" w:after="120" w:lineRule="auto" w:line="240"/>
        <w:jc w:val="left"/>
      </w:pPr>
      <w:r>
        <w:rPr>
          <w:rFonts w:ascii="Sora" w:hAnsi="Sora" w:eastAsia="Sora" w:cs="Sora"/>
          <w:b/>
          <w:i w:val="0"/>
          <w:sz w:val="24"/>
        </w:rPr>
        <w:t>§ 10 Schlussbestimmungen</w:t>
      </w:r>
    </w:p>
    <w:p>
      <w:pPr>
        <w:keepNext w:val="0"/>
        <w:tabs>
          <w:tab w:pos="425" w:val="left"/>
        </w:tabs>
        <w:spacing w:before="0" w:after="120" w:lineRule="auto" w:line="276"/>
        <w:ind w:left="425" w:hanging="425"/>
        <w:jc w:val="both"/>
      </w:pPr>
      <w:r>
        <w:rPr>
          <w:rFonts w:ascii="Inter" w:hAnsi="Inter" w:eastAsia="Inter" w:cs="Inter"/>
          <w:b w:val="0"/>
          <w:i w:val="0"/>
          <w:sz w:val="20"/>
        </w:rPr>
        <w:t>(1)</w:t>
        <w:tab/>
      </w:r>
      <w:r>
        <w:rPr>
          <w:rFonts w:ascii="Inter" w:hAnsi="Inter" w:eastAsia="Inter" w:cs="Inter"/>
          <w:b/>
          <w:i w:val="0"/>
          <w:sz w:val="20"/>
        </w:rPr>
        <w:t xml:space="preserve">Änderungen: </w:t>
      </w:r>
      <w:r>
        <w:rPr>
          <w:rFonts w:ascii="Inter" w:hAnsi="Inter" w:eastAsia="Inter" w:cs="Inter"/>
          <w:b w:val="0"/>
          <w:i w:val="0"/>
          <w:sz w:val="20"/>
        </w:rPr>
        <w:t>Dieser Vertrag mit seinen Anlagen enthält alle Vereinbarungen der Parteien; mündliche Nebenabreden bestehen nicht. Änderungen und Ergänzungen bedürfen der Textform, auch die Aufhebung dieser Klausel. Individuelle Abreden nach § 305b BGB bleiben wirksam und werden zur Beweissicherung nachträglich in Textform festgehalten.</w:t>
      </w:r>
    </w:p>
    <w:p>
      <w:pPr>
        <w:keepNext w:val="0"/>
        <w:tabs>
          <w:tab w:pos="425" w:val="left"/>
        </w:tabs>
        <w:spacing w:before="0" w:after="120" w:lineRule="auto" w:line="276"/>
        <w:ind w:left="425" w:hanging="425"/>
        <w:jc w:val="both"/>
      </w:pPr>
      <w:r>
        <w:rPr>
          <w:rFonts w:ascii="Inter" w:hAnsi="Inter" w:eastAsia="Inter" w:cs="Inter"/>
          <w:b w:val="0"/>
          <w:i w:val="0"/>
          <w:sz w:val="20"/>
        </w:rPr>
        <w:t>(2)</w:t>
        <w:tab/>
      </w:r>
      <w:r>
        <w:rPr>
          <w:rFonts w:ascii="Inter" w:hAnsi="Inter" w:eastAsia="Inter" w:cs="Inter"/>
          <w:b/>
          <w:i w:val="0"/>
          <w:sz w:val="20"/>
        </w:rPr>
        <w:t xml:space="preserve">Recht und Gerichtsstand: </w:t>
      </w:r>
      <w:r>
        <w:rPr>
          <w:rFonts w:ascii="Inter" w:hAnsi="Inter" w:eastAsia="Inter" w:cs="Inter"/>
          <w:b w:val="0"/>
          <w:i w:val="0"/>
          <w:sz w:val="20"/>
        </w:rPr>
        <w:t>Es gilt das Recht der Bundesrepublik Deutschland. Ist der Eigentümer Kaufmann, juristische Person des öffentlichen Rechts oder öffentlich-rechtliches Sondervermögen, ist Gerichtsstand der Sitz von juni.</w:t>
      </w:r>
    </w:p>
    <w:p>
      <w:pPr>
        <w:keepNext w:val="0"/>
        <w:tabs>
          <w:tab w:pos="425" w:val="left"/>
        </w:tabs>
        <w:spacing w:before="0" w:after="120" w:lineRule="auto" w:line="276"/>
        <w:ind w:left="425" w:hanging="425"/>
        <w:jc w:val="both"/>
      </w:pPr>
      <w:r>
        <w:rPr>
          <w:rFonts w:ascii="Inter" w:hAnsi="Inter" w:eastAsia="Inter" w:cs="Inter"/>
          <w:b w:val="0"/>
          <w:i w:val="0"/>
          <w:sz w:val="20"/>
        </w:rPr>
        <w:t>(3)</w:t>
        <w:tab/>
      </w:r>
      <w:r>
        <w:rPr>
          <w:rFonts w:ascii="Inter" w:hAnsi="Inter" w:eastAsia="Inter" w:cs="Inter"/>
          <w:b/>
          <w:i w:val="0"/>
          <w:sz w:val="20"/>
        </w:rPr>
        <w:t xml:space="preserve">Salvatorische Klausel: </w:t>
      </w:r>
      <w:r>
        <w:rPr>
          <w:rFonts w:ascii="Inter" w:hAnsi="Inter" w:eastAsia="Inter" w:cs="Inter"/>
          <w:b w:val="0"/>
          <w:i w:val="0"/>
          <w:sz w:val="20"/>
        </w:rPr>
        <w:t>Sollte eine Bestimmung dieses Vertrages unwirksam sein oder werden, bleibt der Vertrag im Übrigen wirksam. An die Stelle der unwirksamen Bestimmung tritt die wirksame Regelung, die ihrem Zweck am nächsten kommt; Lücken werden entsprechend gefüllt.</w:t>
      </w:r>
    </w:p>
    <w:p>
      <w:pPr>
        <w:keepNext/>
        <w:pBdr>
          <w:bottom w:val="single" w:sz="6" w:space="3" w:color="BFBFBF"/>
        </w:pBdr>
        <w:spacing w:before="280" w:after="120" w:lineRule="auto" w:line="240"/>
        <w:jc w:val="left"/>
      </w:pPr>
      <w:r>
        <w:rPr>
          <w:rFonts w:ascii="Sora" w:hAnsi="Sora" w:eastAsia="Sora" w:cs="Sora"/>
          <w:b/>
          <w:i w:val="0"/>
          <w:sz w:val="24"/>
        </w:rPr>
        <w:t>§ 11 Individuelle Vereinbarungen</w:t>
      </w:r>
    </w:p>
    <w:p>
      <w:pPr>
        <w:keepNext/>
        <w:spacing w:before="0" w:after="0" w:lineRule="auto" w:line="360"/>
        <w:jc w:val="both"/>
      </w:pPr>
      <w:r>
        <w:rPr>
          <w:rFonts w:ascii="Inter" w:hAnsi="Inter" w:eastAsia="Inter" w:cs="Inter"/>
          <w:b w:val="0"/>
          <w:i w:val="0"/>
          <w:sz w:val="20"/>
        </w:rPr>
        <w:t>{{SONDER_1}}</w:t>
      </w:r>
    </w:p>
    <w:p>
      <w:pPr>
        <w:keepNext/>
        <w:spacing w:before="0" w:after="0" w:lineRule="auto" w:line="360"/>
        <w:jc w:val="both"/>
      </w:pPr>
      <w:r>
        <w:rPr>
          <w:rFonts w:ascii="Inter" w:hAnsi="Inter" w:eastAsia="Inter" w:cs="Inter"/>
          <w:b w:val="0"/>
          <w:i w:val="0"/>
          <w:sz w:val="20"/>
        </w:rPr>
        <w:t>{{SONDER_2}}</w:t>
      </w:r>
    </w:p>
    <w:p>
      <w:pPr>
        <w:keepNext/>
        <w:spacing w:before="0" w:after="0" w:lineRule="auto" w:line="360"/>
        <w:jc w:val="both"/>
      </w:pPr>
      <w:r>
        <w:rPr>
          <w:rFonts w:ascii="Inter" w:hAnsi="Inter" w:eastAsia="Inter" w:cs="Inter"/>
          <w:b w:val="0"/>
          <w:i w:val="0"/>
          <w:sz w:val="20"/>
        </w:rPr>
        <w:t>{{SONDER_3}}</w:t>
      </w:r>
    </w:p>
    <w:p>
      <w:pPr>
        <w:keepNext/>
        <w:spacing w:before="0" w:after="0" w:lineRule="auto" w:line="360"/>
        <w:jc w:val="both"/>
      </w:pPr>
      <w:r>
        <w:rPr>
          <w:rFonts w:ascii="Inter" w:hAnsi="Inter" w:eastAsia="Inter" w:cs="Inter"/>
          <w:b w:val="0"/>
          <w:i w:val="0"/>
          <w:sz w:val="20"/>
        </w:rPr>
        <w:t>{{SONDER_4}}</w:t>
      </w:r>
    </w:p>
    <w:p>
      <w:pPr>
        <w:keepNext/>
        <w:spacing w:before="0" w:after="0" w:lineRule="auto" w:line="360"/>
        <w:jc w:val="both"/>
      </w:pPr>
      <w:r>
        <w:rPr>
          <w:rFonts w:ascii="Inter" w:hAnsi="Inter" w:eastAsia="Inter" w:cs="Inter"/>
          <w:b w:val="0"/>
          <w:i w:val="0"/>
          <w:sz w:val="20"/>
        </w:rPr>
        <w:t>{{SONDER_5}}</w:t>
      </w:r>
    </w:p>
    <w:p>
      <w:pPr>
        <w:keepNext/>
        <w:spacing w:before="0" w:after="0" w:lineRule="auto" w:line="360"/>
        <w:jc w:val="both"/>
      </w:pPr>
      <w:r>
        <w:rPr>
          <w:rFonts w:ascii="Inter" w:hAnsi="Inter" w:eastAsia="Inter" w:cs="Inter"/>
          <w:b w:val="0"/>
          <w:i w:val="0"/>
          <w:sz w:val="20"/>
        </w:rPr>
        <w:t>{{SONDER_6}}</w:t>
      </w:r>
    </w:p>
    <w:p>
      <w:pPr>
        <w:keepNext/>
        <w:spacing w:before="280" w:after="0" w:lineRule="auto" w:line="276"/>
        <w:jc w:val="both"/>
      </w:pPr>
      <w:r>
        <w:rPr>
          <w:rFonts w:ascii="Inter" w:hAnsi="Inter" w:eastAsia="Inter" w:cs="Inter"/>
          <w:b w:val="0"/>
          <w:i w:val="0"/>
          <w:sz w:val="20"/>
        </w:rPr>
      </w:r>
    </w:p>
    <w:p>
      <w:pPr>
        <w:keepNext/>
        <w:spacing w:before="0" w:after="40" w:lineRule="auto" w:line="276"/>
        <w:jc w:val="left"/>
      </w:pPr>
      <w:r>
        <w:rPr>
          <w:rFonts w:ascii="Inter" w:hAnsi="Inter" w:eastAsia="Inter" w:cs="Inter"/>
          <w:b w:val="0"/>
          <w:i w:val="0"/>
          <w:sz w:val="20"/>
        </w:rPr>
        <w:t>____________________________</w:t>
        <w:tab/>
        <w:tab/>
        <w:tab/>
        <w:tab/>
        <w:t>___________________________</w:t>
      </w:r>
    </w:p>
    <w:p>
      <w:pPr>
        <w:keepNext/>
        <w:spacing w:before="0" w:after="200" w:lineRule="auto" w:line="276"/>
        <w:jc w:val="left"/>
      </w:pPr>
      <w:r>
        <w:rPr>
          <w:rFonts w:ascii="Inter" w:hAnsi="Inter" w:eastAsia="Inter" w:cs="Inter"/>
          <w:b w:val="0"/>
          <w:i w:val="0"/>
          <w:sz w:val="20"/>
        </w:rPr>
        <w:t>Ort, Datum</w:t>
        <w:tab/>
        <w:tab/>
        <w:tab/>
        <w:tab/>
        <w:tab/>
        <w:tab/>
        <w:t>Unterschrift Auftraggeber</w:t>
      </w:r>
    </w:p>
    <w:tbl>
      <w:tblPr>
        <w:tblW w:type="dxa" w:w="9690"/>
        <w:tblBorders>
          <w:top w:val="none"/>
          <w:left w:val="none"/>
          <w:bottom w:val="none"/>
          <w:right w:val="none"/>
          <w:insideH w:val="none"/>
          <w:insideV w:val="none"/>
        </w:tblBorders>
        <w:tblLayout w:type="fixed"/>
        <w:tblCellMar>
          <w:left w:w="0" w:type="dxa"/>
          <w:right w:w="0" w:type="dxa"/>
        </w:tblCellMar>
        <w:tblLook w:firstColumn="1" w:firstRow="1" w:lastColumn="0" w:lastRow="0" w:noHBand="0" w:noVBand="1" w:val="04A0"/>
      </w:tblPr>
      <w:tblGrid>
        <w:gridCol w:w="5041"/>
        <w:gridCol w:w="4649"/>
      </w:tblGrid>
      <w:tr>
        <w:trPr>
          <w:cantSplit/>
        </w:trPr>
        <w:tc>
          <w:tcPr>
            <w:tcW w:type="dxa" w:w="5041"/>
            <w:vAlign w:val="bottom"/>
          </w:tcPr>
          <w:p>
            <w:pPr>
              <w:keepNext/>
              <w:spacing w:after="0" w:before="0"/>
            </w:pPr>
            <w:r>
              <w:t>Wuppertal, {{ORT_DATUM_JUNI}}</w:t>
            </w:r>
          </w:p>
        </w:tc>
        <w:tc>
          <w:tcPr>
            <w:tcW w:type="dxa" w:w="4649"/>
            <w:vAlign w:val="bottom"/>
          </w:tcPr>
          <w:p>
            <w:pPr>
              <w:keepNext/>
              <w:spacing w:after="0" w:before="0"/>
            </w:pPr>
            <w:r>
              <w:drawing>
                <wp:inline>
                  <wp:extent cx="1282654" cy="396000"/>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282654" cy="396000"/>
                          </a:xfrm>
                          <a:prstGeom prst="rect"/>
                        </pic:spPr>
                      </pic:pic>
                    </a:graphicData>
                  </a:graphic>
                </wp:inline>
              </w:drawing>
            </w:r>
          </w:p>
        </w:tc>
      </w:tr>
      <w:tr>
        <w:trPr>
          <w:cantSplit/>
        </w:trPr>
        <w:tc>
          <w:tcPr>
            <w:tcW w:type="dxa" w:w="5041"/>
          </w:tcPr>
          <w:p>
            <w:pPr>
              <w:keepNext/>
              <w:spacing w:after="0" w:before="0"/>
            </w:pPr>
            <w:r>
              <w:t>____________________________</w:t>
            </w:r>
          </w:p>
        </w:tc>
        <w:tc>
          <w:tcPr>
            <w:tcW w:type="dxa" w:w="4649"/>
          </w:tcPr>
          <w:p>
            <w:pPr>
              <w:keepNext/>
              <w:spacing w:after="0" w:before="0"/>
            </w:pPr>
            <w:r>
              <w:t>___________________________</w:t>
            </w:r>
          </w:p>
        </w:tc>
      </w:tr>
      <w:tr>
        <w:trPr>
          <w:cantSplit/>
        </w:trPr>
        <w:tc>
          <w:tcPr>
            <w:tcW w:type="dxa" w:w="5041"/>
          </w:tcPr>
          <w:p>
            <w:pPr>
              <w:spacing w:after="0" w:before="0"/>
            </w:pPr>
            <w:r>
              <w:t>Ort, Datum</w:t>
            </w:r>
          </w:p>
        </w:tc>
        <w:tc>
          <w:tcPr>
            <w:tcW w:type="dxa" w:w="4649"/>
          </w:tcPr>
          <w:p>
            <w:pPr>
              <w:spacing w:after="0" w:before="0"/>
            </w:pPr>
            <w:r>
              <w:t>Unterschrift Auftragnehmer (Niklas Kuhn)</w:t>
            </w:r>
          </w:p>
        </w:tc>
      </w:tr>
    </w:tbl>
    <w:sectPr>
      <w:headerReference r:id="rId8" w:type="default"/>
      <w:footerReference r:id="rId9" w:type="default"/>
      <w:footerReference r:id="rId10" w:type="first"/>
      <w:footerReference w:type="even" r:id="rId11"/>
      <w:pgSz w:h="16838" w:w="11906" w:orient="portrait"/>
      <w:pgMar w:bottom="1644" w:top="1417" w:left="1417" w:right="1417" w:header="720" w:footer="567" w:gut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Verdan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spacing w:after="200" w:lineRule="auto"/>
      <w:jc w:val="center"/>
      <w:rPr>
        <w:sz w:val="24"/>
        <w:szCs w:val="24"/>
      </w:rPr>
    </w:pPr>
    <w:r>
      <w:rPr>
        <w:rFonts w:ascii="Inter" w:hAnsi="Inter" w:cs="Inter"/>
        <w:sz w:val="15"/>
      </w:rPr>
      <w:t>Juni Co-Hosting &amp; Management - Graf &amp; Kuhn GbR · Schusterstraße 1, 42105 Wuppertal · info@juni-co-hosting.de</w:t>
    </w:r>
  </w:p>
  <w:p w:rsidR="00000000" w:rsidDel="00000000" w:rsidP="00000000" w:rsidRDefault="00000000" w:rsidRPr="00000000" w14:paraId="000000F1">
    <w:pPr>
      <w:jc w:val="right"/>
      <w:rPr>
        <w:rFonts w:ascii="Verdana" w:cs="Verdana" w:eastAsia="Verdana" w:hAnsi="Verdana"/>
        <w:sz w:val="12"/>
        <w:szCs w:val="12"/>
      </w:rPr>
    </w:pPr>
    <w:r w:rsidDel="00000000" w:rsidR="00000000" w:rsidRPr="00000000">
      <w:rPr>
        <w:rFonts w:ascii="Inter" w:cs="Inter" w:eastAsia="Verdana" w:hAnsi="Inter"/>
        <w:sz w:val="15"/>
        <w:szCs w:val="12"/>
      </w:rPr>
      <w:fldChar w:fldCharType="begin"/>
      <w:instrText xml:space="preserve">PAGE</w:instrText>
      <w:fldChar w:fldCharType="separate"/>
      <w:fldChar w:fldCharType="end"/>
    </w:r>
    <w:r w:rsidDel="00000000" w:rsidR="00000000" w:rsidRPr="00000000">
      <w:rPr>
        <w:rFonts w:ascii="Inter" w:hAnsi="Inter" w:cs="Inter"/>
        <w:sz w:val="15"/>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spacing w:after="200" w:lineRule="auto"/>
      <w:jc w:val="center"/>
      <w:rPr>
        <w:sz w:val="24"/>
        <w:szCs w:val="24"/>
      </w:rPr>
    </w:pPr>
    <w:r>
      <w:rPr>
        <w:rFonts w:ascii="Inter" w:hAnsi="Inter" w:cs="Inter"/>
        <w:sz w:val="15"/>
      </w:rPr>
      <w:t>Juni Co-Hosting &amp; Management - Graf &amp; Kuhn GbR · Schusterstraße 1, 42105 Wuppertal · info@juni-co-hosting.de</w:t>
    </w:r>
  </w:p>
  <w:p w:rsidR="00000000" w:rsidDel="00000000" w:rsidP="00000000" w:rsidRDefault="00000000" w:rsidRPr="00000000" w14:paraId="000000F5">
    <w:pPr>
      <w:jc w:val="right"/>
      <w:rPr>
        <w:rFonts w:ascii="Verdana" w:cs="Verdana" w:eastAsia="Verdana" w:hAnsi="Verdana"/>
        <w:sz w:val="12"/>
        <w:szCs w:val="12"/>
      </w:rPr>
    </w:pPr>
    <w:r w:rsidDel="00000000" w:rsidR="00000000" w:rsidRPr="00000000">
      <w:rPr>
        <w:rFonts w:ascii="Inter" w:cs="Inter" w:eastAsia="Verdana" w:hAnsi="Inter"/>
        <w:sz w:val="15"/>
        <w:szCs w:val="12"/>
      </w:rPr>
      <w:fldChar w:fldCharType="begin"/>
      <w:instrText xml:space="preserve">PAGE</w:instrText>
      <w:fldChar w:fldCharType="separate"/>
      <w:fldChar w:fldCharType="end"/>
    </w:r>
    <w:r w:rsidDel="00000000" w:rsidR="00000000" w:rsidRPr="00000000">
      <w:rPr>
        <w:rFonts w:ascii="Inter" w:hAnsi="Inter" w:cs="Inter"/>
        <w:sz w:val="15"/>
        <w:rtl w:val="0"/>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s="Inter"/>
        <w:sz w:val="15"/>
      </w:rPr>
      <w:t>Juni Co-Hosting &amp; Management - Graf &amp; Kuhn GbR · Schusterstraße 1, 42105 Wuppertal · info@juni-co-hosting.de</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Ist der Auftraggeber ein </w:t>
      </w:r>
      <w:r w:rsidDel="00000000" w:rsidR="00000000" w:rsidRPr="00000000">
        <w:rPr>
          <w:rtl w:val="0"/>
        </w:rPr>
        <w:t xml:space="preserve">Verbraucher,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kann maximal eine feste Laufzeit von 2 Jahren vereinbart werden. Eine Verlängerung ist nur auf unbestimmte Zeit und mit einer monatlichen Kündigungsmöglichkeit zulässig.</w:t>
      </w:r>
    </w:p>
  </w:footnote>
  <w:footnote w:id="1">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Gilt für den Fall, dass der Auftragnehmer die Wohnung mit Einrichtungsgegenständen ausstattet. Dies wäre eine eigene Leistung, die im Katalog des § 1 aufgeführt werden sollte.</w:t>
      </w:r>
    </w:p>
  </w:footnote>
  <w:footnote w:id="2">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Zur ordnungsgemäßen Datenverwaltung ist die Prüfung durch einen Datenschutzexperten dringend zu empfehlen.</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1"/>
        <w:bCs w:val="1"/>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rFonts w:ascii="Calibri" w:cs="Calibri" w:eastAsia="Calibri" w:hAnsi="Calibri"/>
        <w:b w:val="1"/>
        <w:bCs w:val="1"/>
        <w:i w:val="0"/>
        <w:iCs w:val="0"/>
        <w:vertAlign w:val="baseline"/>
      </w:rPr>
    </w:lvl>
    <w:lvl w:ilvl="1">
      <w:start w:val="1"/>
      <w:numFmt w:val="decimal"/>
      <w:lvlText w:val="%1.%2."/>
      <w:lvlJc w:val="left"/>
      <w:pPr>
        <w:ind w:left="1152" w:hanging="432"/>
      </w:pPr>
      <w:rPr>
        <w:vertAlign w:val="baseline"/>
      </w:rPr>
    </w:lvl>
    <w:lvl w:ilvl="2">
      <w:start w:val="1"/>
      <w:numFmt w:val="decimal"/>
      <w:lvlText w:val="%1.%2.%3."/>
      <w:lvlJc w:val="left"/>
      <w:pPr>
        <w:ind w:left="1584" w:hanging="504"/>
      </w:pPr>
      <w:rPr>
        <w:vertAlign w:val="baseline"/>
      </w:rPr>
    </w:lvl>
    <w:lvl w:ilvl="3">
      <w:start w:val="1"/>
      <w:numFmt w:val="decimal"/>
      <w:lvlText w:val="%1.%2.%3.%4."/>
      <w:lvlJc w:val="left"/>
      <w:pPr>
        <w:ind w:left="2088" w:hanging="648"/>
      </w:pPr>
      <w:rPr>
        <w:vertAlign w:val="baseline"/>
      </w:rPr>
    </w:lvl>
    <w:lvl w:ilvl="4">
      <w:start w:val="1"/>
      <w:numFmt w:val="decimal"/>
      <w:lvlText w:val="%1.%2.%3.%4.%5."/>
      <w:lvlJc w:val="left"/>
      <w:pPr>
        <w:ind w:left="2592" w:hanging="792"/>
      </w:pPr>
      <w:rPr>
        <w:vertAlign w:val="baseline"/>
      </w:rPr>
    </w:lvl>
    <w:lvl w:ilvl="5">
      <w:start w:val="1"/>
      <w:numFmt w:val="decimal"/>
      <w:lvlText w:val="%1.%2.%3.%4.%5.%6."/>
      <w:lvlJc w:val="left"/>
      <w:pPr>
        <w:ind w:left="3096" w:hanging="935"/>
      </w:pPr>
      <w:rPr>
        <w:vertAlign w:val="baseline"/>
      </w:rPr>
    </w:lvl>
    <w:lvl w:ilvl="6">
      <w:start w:val="1"/>
      <w:numFmt w:val="decimal"/>
      <w:lvlText w:val="%1.%2.%3.%4.%5.%6.%7."/>
      <w:lvlJc w:val="left"/>
      <w:pPr>
        <w:ind w:left="3600" w:hanging="1080"/>
      </w:pPr>
      <w:rPr>
        <w:vertAlign w:val="baseline"/>
      </w:rPr>
    </w:lvl>
    <w:lvl w:ilvl="7">
      <w:start w:val="1"/>
      <w:numFmt w:val="decimal"/>
      <w:lvlText w:val="%1.%2.%3.%4.%5.%6.%7.%8."/>
      <w:lvlJc w:val="left"/>
      <w:pPr>
        <w:ind w:left="4104" w:hanging="1224"/>
      </w:pPr>
      <w:rPr>
        <w:vertAlign w:val="baseline"/>
      </w:rPr>
    </w:lvl>
    <w:lvl w:ilvl="8">
      <w:start w:val="1"/>
      <w:numFmt w:val="decimal"/>
      <w:lvlText w:val="%1.%2.%3.%4.%5.%6.%7.%8.%9."/>
      <w:lvlJc w:val="left"/>
      <w:pPr>
        <w:ind w:left="4680" w:hanging="1440"/>
      </w:pPr>
      <w:rPr>
        <w:vertAlign w:val="baseline"/>
      </w:rPr>
    </w:lvl>
  </w:abstractNum>
  <w:abstractNum w:abstractNumId="3">
    <w:lvl w:ilvl="0">
      <w:start w:val="1"/>
      <w:numFmt w:val="decimal"/>
      <w:lvlText w:val="%1."/>
      <w:lvlJc w:val="left"/>
      <w:pPr>
        <w:ind w:left="720" w:hanging="360"/>
      </w:pPr>
      <w:rPr>
        <w:rFonts w:ascii="Calibri" w:cs="Calibri" w:eastAsia="Calibri" w:hAnsi="Calibri"/>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720" w:hanging="360"/>
      </w:pPr>
      <w:rPr>
        <w:rFonts w:ascii="Calibri" w:cs="Calibri" w:eastAsia="Calibri" w:hAnsi="Calibri"/>
        <w:b w:val="1"/>
        <w:bCs w:val="1"/>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720" w:hanging="360"/>
      </w:pPr>
      <w:rPr>
        <w:rFonts w:ascii="Calibri" w:cs="Calibri" w:eastAsia="Calibri" w:hAnsi="Calibri"/>
        <w:b w:val="1"/>
        <w:bCs w:val="1"/>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de-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Inter" w:hAnsi="Inter"/>
      <w:sz w:val="20"/>
    </w:rPr>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 Id="rId11" Type="http://schemas.openxmlformats.org/officeDocument/2006/relationships/footer" Target="footer3.xml"/><Relationship Id="rId12"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